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B7B" w:rsidRDefault="008A421F" w:rsidP="008A421F">
      <w:pPr>
        <w:pStyle w:val="Sansinterligne"/>
        <w:rPr>
          <w:b/>
          <w:sz w:val="56"/>
        </w:rPr>
      </w:pPr>
      <w:r w:rsidRPr="008A421F">
        <w:rPr>
          <w:b/>
          <w:noProof/>
          <w:sz w:val="56"/>
        </w:rPr>
        <w:drawing>
          <wp:anchor distT="0" distB="0" distL="114300" distR="114300" simplePos="0" relativeHeight="251658240" behindDoc="0" locked="0" layoutInCell="1" allowOverlap="1" wp14:anchorId="2483B93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724025" cy="194437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23" b="13502"/>
                    <a:stretch/>
                  </pic:blipFill>
                  <pic:spPr bwMode="auto">
                    <a:xfrm>
                      <a:off x="0" y="0"/>
                      <a:ext cx="172402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FD2" w:rsidRPr="008A421F">
        <w:rPr>
          <w:b/>
          <w:sz w:val="56"/>
        </w:rPr>
        <w:t>Résidences FJT</w:t>
      </w:r>
      <w:r w:rsidR="004A1B7B">
        <w:rPr>
          <w:b/>
          <w:sz w:val="56"/>
        </w:rPr>
        <w:t xml:space="preserve"> : </w:t>
      </w:r>
    </w:p>
    <w:p w:rsidR="00E91F6F" w:rsidRPr="008A421F" w:rsidRDefault="004C5C1A" w:rsidP="008A421F">
      <w:pPr>
        <w:pStyle w:val="Sansinterligne"/>
        <w:rPr>
          <w:b/>
          <w:sz w:val="56"/>
        </w:rPr>
      </w:pPr>
      <w:r w:rsidRPr="008A421F">
        <w:rPr>
          <w:b/>
          <w:sz w:val="56"/>
        </w:rPr>
        <w:t>L’étau</w:t>
      </w:r>
      <w:r w:rsidR="008C4FD2" w:rsidRPr="008A421F">
        <w:rPr>
          <w:b/>
          <w:sz w:val="56"/>
        </w:rPr>
        <w:t xml:space="preserve"> se referme sur un modèle économique déjà fragilisé !</w:t>
      </w:r>
    </w:p>
    <w:p w:rsidR="00164415" w:rsidRDefault="00164415" w:rsidP="004C5C1A">
      <w:pPr>
        <w:pStyle w:val="Sansinterligne"/>
        <w:jc w:val="right"/>
        <w:rPr>
          <w:sz w:val="24"/>
        </w:rPr>
      </w:pPr>
    </w:p>
    <w:p w:rsidR="00164415" w:rsidRDefault="00164415" w:rsidP="004C5C1A">
      <w:pPr>
        <w:pStyle w:val="Sansinterligne"/>
        <w:jc w:val="right"/>
        <w:rPr>
          <w:sz w:val="24"/>
        </w:rPr>
      </w:pPr>
    </w:p>
    <w:p w:rsidR="008C4FD2" w:rsidRPr="004C5C1A" w:rsidRDefault="004C5C1A" w:rsidP="004C5C1A">
      <w:pPr>
        <w:pStyle w:val="Sansinterligne"/>
        <w:jc w:val="right"/>
        <w:rPr>
          <w:sz w:val="24"/>
        </w:rPr>
      </w:pPr>
      <w:r w:rsidRPr="004C5C1A">
        <w:rPr>
          <w:sz w:val="24"/>
        </w:rPr>
        <w:t>Paris</w:t>
      </w:r>
      <w:r>
        <w:rPr>
          <w:sz w:val="24"/>
        </w:rPr>
        <w:t>,</w:t>
      </w:r>
      <w:r w:rsidRPr="004C5C1A">
        <w:rPr>
          <w:sz w:val="24"/>
        </w:rPr>
        <w:t xml:space="preserve"> l</w:t>
      </w:r>
      <w:r w:rsidR="008C4FD2" w:rsidRPr="004C5C1A">
        <w:rPr>
          <w:sz w:val="24"/>
        </w:rPr>
        <w:t xml:space="preserve">e </w:t>
      </w:r>
      <w:r w:rsidR="008A421F" w:rsidRPr="004C5C1A">
        <w:rPr>
          <w:sz w:val="24"/>
        </w:rPr>
        <w:t>1</w:t>
      </w:r>
      <w:r w:rsidR="006137B0">
        <w:rPr>
          <w:sz w:val="24"/>
        </w:rPr>
        <w:t>5</w:t>
      </w:r>
      <w:r w:rsidR="008C4FD2" w:rsidRPr="004C5C1A">
        <w:rPr>
          <w:sz w:val="24"/>
        </w:rPr>
        <w:t xml:space="preserve"> septembre 2022</w:t>
      </w:r>
      <w:r w:rsidR="00627683" w:rsidRPr="004C5C1A">
        <w:rPr>
          <w:sz w:val="24"/>
        </w:rPr>
        <w:t xml:space="preserve"> </w:t>
      </w:r>
    </w:p>
    <w:p w:rsidR="008C4FD2" w:rsidRDefault="008C4FD2" w:rsidP="008C4FD2">
      <w:pPr>
        <w:pStyle w:val="Sansinterligne"/>
      </w:pPr>
    </w:p>
    <w:p w:rsidR="008A421F" w:rsidRDefault="008A421F" w:rsidP="00BE3208">
      <w:pPr>
        <w:pStyle w:val="Sansinterligne"/>
        <w:jc w:val="both"/>
      </w:pPr>
    </w:p>
    <w:p w:rsidR="00BE3208" w:rsidRDefault="003F7C92" w:rsidP="00164415">
      <w:pPr>
        <w:pStyle w:val="Sansinterligne"/>
        <w:ind w:left="567"/>
        <w:jc w:val="both"/>
      </w:pPr>
      <w:r>
        <w:t>Comprenons-</w:t>
      </w:r>
      <w:r w:rsidR="008574AE">
        <w:t>nous bien, il ne s’a</w:t>
      </w:r>
      <w:r w:rsidR="00BE3208">
        <w:t>g</w:t>
      </w:r>
      <w:r w:rsidR="008574AE">
        <w:t xml:space="preserve">it pas ici </w:t>
      </w:r>
      <w:r>
        <w:t>d’alerter sur un risque à terme ou d’une dégradation de nos capacités d’action</w:t>
      </w:r>
      <w:r w:rsidRPr="004E589E">
        <w:rPr>
          <w:b/>
        </w:rPr>
        <w:t xml:space="preserve">. </w:t>
      </w:r>
      <w:r w:rsidR="00BE3208" w:rsidRPr="004E589E">
        <w:rPr>
          <w:b/>
        </w:rPr>
        <w:t>Le risque identifié porte sur de tels déficits d’exploitation dès janvier 2023 que la pérennité de certain</w:t>
      </w:r>
      <w:r w:rsidR="00D31C78" w:rsidRPr="004E589E">
        <w:rPr>
          <w:b/>
        </w:rPr>
        <w:t>es</w:t>
      </w:r>
      <w:r w:rsidR="00BE3208" w:rsidRPr="004E589E">
        <w:rPr>
          <w:b/>
        </w:rPr>
        <w:t xml:space="preserve"> de nos associations ne serai</w:t>
      </w:r>
      <w:r w:rsidR="00122D5E">
        <w:rPr>
          <w:b/>
        </w:rPr>
        <w:t>t</w:t>
      </w:r>
      <w:r w:rsidR="00BE3208" w:rsidRPr="004E589E">
        <w:rPr>
          <w:b/>
        </w:rPr>
        <w:t xml:space="preserve"> plus </w:t>
      </w:r>
      <w:r w:rsidR="00D31C78" w:rsidRPr="004E589E">
        <w:rPr>
          <w:b/>
        </w:rPr>
        <w:t>assurée</w:t>
      </w:r>
      <w:r w:rsidR="00BE3208" w:rsidRPr="004E589E">
        <w:rPr>
          <w:b/>
        </w:rPr>
        <w:t xml:space="preserve"> d’ici à la fin de l’année prochaine.</w:t>
      </w:r>
    </w:p>
    <w:p w:rsidR="008A421F" w:rsidRDefault="008A421F" w:rsidP="00164415">
      <w:pPr>
        <w:pStyle w:val="Sansinterligne"/>
        <w:ind w:left="567"/>
        <w:jc w:val="both"/>
      </w:pPr>
    </w:p>
    <w:p w:rsidR="008C4FD2" w:rsidRDefault="003F7C92" w:rsidP="00164415">
      <w:pPr>
        <w:pStyle w:val="Sansinterligne"/>
        <w:ind w:left="567"/>
        <w:jc w:val="both"/>
      </w:pPr>
      <w:r w:rsidRPr="004A1B7B">
        <w:rPr>
          <w:b/>
        </w:rPr>
        <w:t>La hausse exponentielle des co</w:t>
      </w:r>
      <w:r w:rsidR="00122D5E" w:rsidRPr="004A1B7B">
        <w:rPr>
          <w:b/>
        </w:rPr>
        <w:t>û</w:t>
      </w:r>
      <w:r w:rsidRPr="004A1B7B">
        <w:rPr>
          <w:b/>
        </w:rPr>
        <w:t>ts de l’énergie</w:t>
      </w:r>
      <w:r>
        <w:t xml:space="preserve">, avec un emballement irrationnel au </w:t>
      </w:r>
      <w:r w:rsidR="00D31C78">
        <w:t>cours</w:t>
      </w:r>
      <w:r>
        <w:t xml:space="preserve"> de l’été, fait </w:t>
      </w:r>
      <w:r w:rsidR="008F0B67">
        <w:t xml:space="preserve">totalement </w:t>
      </w:r>
      <w:r w:rsidRPr="008A421F">
        <w:rPr>
          <w:b/>
        </w:rPr>
        <w:t>tomber le fragile équilibre économique de nos associations gestionnaires</w:t>
      </w:r>
      <w:r>
        <w:t xml:space="preserve"> qui négocient actuellement leur renouvellement de contrats.</w:t>
      </w:r>
    </w:p>
    <w:p w:rsidR="00490375" w:rsidRDefault="00490375" w:rsidP="00164415">
      <w:pPr>
        <w:pStyle w:val="Sansinterligne"/>
        <w:ind w:left="567"/>
        <w:jc w:val="both"/>
      </w:pPr>
    </w:p>
    <w:p w:rsidR="003F7C92" w:rsidRDefault="003F7C92" w:rsidP="00164415">
      <w:pPr>
        <w:pStyle w:val="Sansinterligne"/>
        <w:ind w:left="567"/>
        <w:jc w:val="both"/>
      </w:pPr>
      <w:r>
        <w:t xml:space="preserve">Pourquoi ? </w:t>
      </w:r>
      <w:r w:rsidR="004B148D">
        <w:t>Deux</w:t>
      </w:r>
      <w:r>
        <w:t xml:space="preserve"> chiffres qui </w:t>
      </w:r>
      <w:r w:rsidR="004B148D">
        <w:t>illustrent l’état</w:t>
      </w:r>
      <w:r>
        <w:t xml:space="preserve"> </w:t>
      </w:r>
      <w:r w:rsidR="004B148D">
        <w:t>des négociations</w:t>
      </w:r>
      <w:r>
        <w:t xml:space="preserve"> en cour</w:t>
      </w:r>
      <w:r w:rsidR="004B148D">
        <w:t>s</w:t>
      </w:r>
      <w:r>
        <w:t xml:space="preserve"> </w:t>
      </w:r>
      <w:r w:rsidR="004B148D">
        <w:t>d’un de nos adhérents qui passe un marché pour l’ensemble de ses résidences :</w:t>
      </w:r>
      <w:r>
        <w:t xml:space="preserve"> </w:t>
      </w:r>
    </w:p>
    <w:p w:rsidR="003F7C92" w:rsidRPr="004B148D" w:rsidRDefault="003F7C92" w:rsidP="00164415">
      <w:pPr>
        <w:pStyle w:val="Sansinterligne"/>
        <w:numPr>
          <w:ilvl w:val="0"/>
          <w:numId w:val="4"/>
        </w:numPr>
        <w:jc w:val="both"/>
      </w:pPr>
      <w:r>
        <w:t>Pour l’</w:t>
      </w:r>
      <w:r w:rsidR="004B148D">
        <w:t>électricité</w:t>
      </w:r>
      <w:r w:rsidR="00D31C78">
        <w:t>, c'est</w:t>
      </w:r>
      <w:r w:rsidR="004B148D">
        <w:t xml:space="preserve"> </w:t>
      </w:r>
      <w:r w:rsidR="00122D5E">
        <w:t>multiplié par</w:t>
      </w:r>
      <w:r w:rsidR="004B148D">
        <w:t xml:space="preserve"> 10</w:t>
      </w:r>
      <w:r w:rsidR="00490375">
        <w:t xml:space="preserve">. </w:t>
      </w:r>
      <w:r w:rsidR="004B148D">
        <w:t xml:space="preserve">Contrat en </w:t>
      </w:r>
      <w:r w:rsidR="00D31C78">
        <w:t>cours</w:t>
      </w:r>
      <w:r w:rsidR="004B148D">
        <w:t xml:space="preserve"> </w:t>
      </w:r>
      <w:r w:rsidR="00D31C78">
        <w:t>58 €</w:t>
      </w:r>
      <w:r w:rsidR="004B148D">
        <w:t xml:space="preserve">/MWh. </w:t>
      </w:r>
      <w:r>
        <w:rPr>
          <w:rFonts w:ascii="Calibri" w:hAnsi="Calibri" w:cs="Calibri"/>
        </w:rPr>
        <w:t>Livraison 2023</w:t>
      </w:r>
      <w:r w:rsidR="003C7BB0">
        <w:rPr>
          <w:rFonts w:ascii="Calibri" w:hAnsi="Calibri" w:cs="Calibri"/>
        </w:rPr>
        <w:t xml:space="preserve"> : </w:t>
      </w:r>
      <w:r>
        <w:rPr>
          <w:rFonts w:ascii="Calibri" w:hAnsi="Calibri" w:cs="Calibri"/>
        </w:rPr>
        <w:t>590 €/MWh (prix de l’électron)</w:t>
      </w:r>
    </w:p>
    <w:p w:rsidR="004B148D" w:rsidRPr="004B148D" w:rsidRDefault="004B148D" w:rsidP="00164415">
      <w:pPr>
        <w:pStyle w:val="Sansinterligne"/>
        <w:numPr>
          <w:ilvl w:val="0"/>
          <w:numId w:val="4"/>
        </w:numPr>
        <w:jc w:val="both"/>
      </w:pPr>
      <w:r>
        <w:t xml:space="preserve">Pour le </w:t>
      </w:r>
      <w:r w:rsidR="00490375">
        <w:t>g</w:t>
      </w:r>
      <w:r>
        <w:t>az</w:t>
      </w:r>
      <w:r w:rsidR="00490375">
        <w:t>,</w:t>
      </w:r>
      <w:r>
        <w:t xml:space="preserve"> c’est </w:t>
      </w:r>
      <w:r w:rsidR="00122D5E">
        <w:t>multiplié par</w:t>
      </w:r>
      <w:r>
        <w:t xml:space="preserve"> 8</w:t>
      </w:r>
      <w:r w:rsidR="00490375">
        <w:t xml:space="preserve">. </w:t>
      </w:r>
      <w:r>
        <w:t xml:space="preserve">Contrat en </w:t>
      </w:r>
      <w:r w:rsidR="00D31C78">
        <w:t>cours</w:t>
      </w:r>
      <w:r>
        <w:t xml:space="preserve"> </w:t>
      </w:r>
      <w:r w:rsidR="00D31C78">
        <w:t>21 €</w:t>
      </w:r>
      <w:r>
        <w:t xml:space="preserve">/MWh. </w:t>
      </w:r>
      <w:r>
        <w:rPr>
          <w:rFonts w:ascii="Calibri" w:hAnsi="Calibri" w:cs="Calibri"/>
        </w:rPr>
        <w:t>Livraison 2023</w:t>
      </w:r>
      <w:r w:rsidR="003C7BB0">
        <w:rPr>
          <w:rFonts w:ascii="Calibri" w:hAnsi="Calibri" w:cs="Calibri"/>
        </w:rPr>
        <w:t xml:space="preserve"> : </w:t>
      </w:r>
      <w:r>
        <w:rPr>
          <w:rFonts w:ascii="Calibri" w:hAnsi="Calibri" w:cs="Calibri"/>
        </w:rPr>
        <w:t xml:space="preserve">172,35 €/MWh (prix de la molécule). Notons </w:t>
      </w:r>
      <w:r w:rsidR="00D31C78">
        <w:rPr>
          <w:rFonts w:ascii="Calibri" w:hAnsi="Calibri" w:cs="Calibri"/>
        </w:rPr>
        <w:t>qu'à</w:t>
      </w:r>
      <w:r>
        <w:rPr>
          <w:rFonts w:ascii="Calibri" w:hAnsi="Calibri" w:cs="Calibri"/>
        </w:rPr>
        <w:t xml:space="preserve"> ce </w:t>
      </w:r>
      <w:r w:rsidR="008F0B67">
        <w:rPr>
          <w:rFonts w:ascii="Calibri" w:hAnsi="Calibri" w:cs="Calibri"/>
        </w:rPr>
        <w:t>stade</w:t>
      </w:r>
      <w:r>
        <w:rPr>
          <w:rFonts w:ascii="Calibri" w:hAnsi="Calibri" w:cs="Calibri"/>
        </w:rPr>
        <w:t xml:space="preserve"> le bouclier tarifaire n’est pas renouvelé pour 2023</w:t>
      </w:r>
      <w:r w:rsidR="008F0B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et que</w:t>
      </w:r>
      <w:r w:rsidR="00122D5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pour 2022</w:t>
      </w:r>
      <w:r w:rsidR="00122D5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il permet de limit</w:t>
      </w:r>
      <w:r w:rsidR="008F0B67">
        <w:rPr>
          <w:rFonts w:ascii="Calibri" w:hAnsi="Calibri" w:cs="Calibri"/>
        </w:rPr>
        <w:t>er</w:t>
      </w:r>
      <w:r>
        <w:rPr>
          <w:rFonts w:ascii="Calibri" w:hAnsi="Calibri" w:cs="Calibri"/>
        </w:rPr>
        <w:t xml:space="preserve"> </w:t>
      </w:r>
      <w:r w:rsidR="00490375">
        <w:rPr>
          <w:rFonts w:ascii="Calibri" w:hAnsi="Calibri" w:cs="Calibri"/>
        </w:rPr>
        <w:t>au double</w:t>
      </w:r>
      <w:r w:rsidR="008F0B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="00D31C78">
        <w:rPr>
          <w:rFonts w:ascii="Calibri" w:hAnsi="Calibri" w:cs="Calibri"/>
        </w:rPr>
        <w:t>48</w:t>
      </w:r>
      <w:r>
        <w:rPr>
          <w:rFonts w:ascii="Calibri" w:hAnsi="Calibri" w:cs="Calibri"/>
        </w:rPr>
        <w:t>€/MWh) l’augmentation.</w:t>
      </w:r>
    </w:p>
    <w:p w:rsidR="004E589E" w:rsidRDefault="004E589E" w:rsidP="00164415">
      <w:pPr>
        <w:pStyle w:val="Sansinterligne"/>
        <w:ind w:left="567"/>
        <w:jc w:val="both"/>
      </w:pPr>
    </w:p>
    <w:p w:rsidR="004E589E" w:rsidRDefault="004B148D" w:rsidP="00164415">
      <w:pPr>
        <w:pStyle w:val="Sansinterligne"/>
        <w:ind w:left="567"/>
        <w:jc w:val="both"/>
        <w:rPr>
          <w:rFonts w:ascii="Calibri" w:hAnsi="Calibri" w:cs="Calibri"/>
        </w:rPr>
      </w:pPr>
      <w:r>
        <w:t>C’est très technique</w:t>
      </w:r>
      <w:r w:rsidR="00D31C78">
        <w:t xml:space="preserve">, </w:t>
      </w:r>
      <w:r w:rsidR="00122D5E">
        <w:t>nous en</w:t>
      </w:r>
      <w:r>
        <w:t xml:space="preserve"> conv</w:t>
      </w:r>
      <w:r w:rsidR="00122D5E">
        <w:t>enons</w:t>
      </w:r>
      <w:r>
        <w:t>, mais la mesure d’impact e</w:t>
      </w:r>
      <w:r w:rsidR="00E17160">
        <w:t>s</w:t>
      </w:r>
      <w:r>
        <w:t>t beaucoup plus limpide</w:t>
      </w:r>
      <w:r w:rsidR="00E17160">
        <w:t>,</w:t>
      </w:r>
      <w:r>
        <w:t xml:space="preserve"> </w:t>
      </w:r>
      <w:r w:rsidR="00E17160">
        <w:t>nous vous l’assurons.</w:t>
      </w:r>
      <w:r w:rsidR="008A421F">
        <w:t xml:space="preserve"> </w:t>
      </w:r>
      <w:r w:rsidR="008F0B67">
        <w:t xml:space="preserve">Si l’on poursuit l’exemple </w:t>
      </w:r>
      <w:r w:rsidR="00D31C78">
        <w:t>du même</w:t>
      </w:r>
      <w:r w:rsidR="008F0B67">
        <w:t xml:space="preserve"> adhérent, </w:t>
      </w:r>
      <w:r w:rsidR="008F0B67">
        <w:rPr>
          <w:rFonts w:ascii="Calibri" w:hAnsi="Calibri" w:cs="Calibri"/>
        </w:rPr>
        <w:t xml:space="preserve">le poids des fluides (eau, gaz, électricité) passe ainsi </w:t>
      </w:r>
      <w:r w:rsidR="008F0B67" w:rsidRPr="008A421F">
        <w:rPr>
          <w:rFonts w:ascii="Calibri" w:hAnsi="Calibri" w:cs="Calibri"/>
          <w:b/>
        </w:rPr>
        <w:t xml:space="preserve">de </w:t>
      </w:r>
      <w:r w:rsidR="00D31C78" w:rsidRPr="008A421F">
        <w:rPr>
          <w:rFonts w:ascii="Calibri" w:hAnsi="Calibri" w:cs="Calibri"/>
          <w:b/>
        </w:rPr>
        <w:t>9 %</w:t>
      </w:r>
      <w:r w:rsidR="008F0B67" w:rsidRPr="008A421F">
        <w:rPr>
          <w:rFonts w:ascii="Calibri" w:hAnsi="Calibri" w:cs="Calibri"/>
          <w:b/>
        </w:rPr>
        <w:t xml:space="preserve"> des charges en 2022 à </w:t>
      </w:r>
      <w:r w:rsidR="00D31C78" w:rsidRPr="008A421F">
        <w:rPr>
          <w:rFonts w:ascii="Calibri" w:hAnsi="Calibri" w:cs="Calibri"/>
          <w:b/>
        </w:rPr>
        <w:t>21 %</w:t>
      </w:r>
      <w:r w:rsidR="008F0B67" w:rsidRPr="008A421F">
        <w:rPr>
          <w:rFonts w:ascii="Calibri" w:hAnsi="Calibri" w:cs="Calibri"/>
          <w:b/>
        </w:rPr>
        <w:t xml:space="preserve"> des charges en 2023</w:t>
      </w:r>
      <w:r w:rsidR="008F0B67">
        <w:rPr>
          <w:rFonts w:ascii="Calibri" w:hAnsi="Calibri" w:cs="Calibri"/>
        </w:rPr>
        <w:t xml:space="preserve"> ! Soit un ratio à la place passant de </w:t>
      </w:r>
      <w:r w:rsidR="00D31C78">
        <w:rPr>
          <w:rFonts w:ascii="Calibri" w:hAnsi="Calibri" w:cs="Calibri"/>
        </w:rPr>
        <w:t>700 €</w:t>
      </w:r>
      <w:r w:rsidR="008F0B67">
        <w:rPr>
          <w:rFonts w:ascii="Calibri" w:hAnsi="Calibri" w:cs="Calibri"/>
        </w:rPr>
        <w:t>/</w:t>
      </w:r>
      <w:r w:rsidR="00490375">
        <w:rPr>
          <w:rFonts w:ascii="Calibri" w:hAnsi="Calibri" w:cs="Calibri"/>
        </w:rPr>
        <w:t>a</w:t>
      </w:r>
      <w:r w:rsidR="008F0B67">
        <w:rPr>
          <w:rFonts w:ascii="Calibri" w:hAnsi="Calibri" w:cs="Calibri"/>
        </w:rPr>
        <w:t>n à 1400 €/</w:t>
      </w:r>
      <w:r w:rsidR="00490375">
        <w:rPr>
          <w:rFonts w:ascii="Calibri" w:hAnsi="Calibri" w:cs="Calibri"/>
        </w:rPr>
        <w:t>a</w:t>
      </w:r>
      <w:r w:rsidR="008F0B67">
        <w:rPr>
          <w:rFonts w:ascii="Calibri" w:hAnsi="Calibri" w:cs="Calibri"/>
        </w:rPr>
        <w:t>n.</w:t>
      </w:r>
    </w:p>
    <w:p w:rsidR="004E589E" w:rsidRDefault="004E589E" w:rsidP="001644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8F0B67" w:rsidRDefault="00490375" w:rsidP="001644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« </w:t>
      </w:r>
      <w:r w:rsidR="008F0B67">
        <w:rPr>
          <w:rFonts w:ascii="Calibri" w:hAnsi="Calibri" w:cs="Calibri"/>
        </w:rPr>
        <w:t>C’est conséquent</w:t>
      </w:r>
      <w:r>
        <w:rPr>
          <w:rFonts w:ascii="Calibri" w:hAnsi="Calibri" w:cs="Calibri"/>
        </w:rPr>
        <w:t> »</w:t>
      </w:r>
      <w:r w:rsidR="008F0B67">
        <w:rPr>
          <w:rFonts w:ascii="Calibri" w:hAnsi="Calibri" w:cs="Calibri"/>
        </w:rPr>
        <w:t xml:space="preserve"> </w:t>
      </w:r>
      <w:r w:rsidR="00BE6028">
        <w:rPr>
          <w:rFonts w:ascii="Calibri" w:hAnsi="Calibri" w:cs="Calibri"/>
        </w:rPr>
        <w:t xml:space="preserve">nous </w:t>
      </w:r>
      <w:r w:rsidR="008F0B67">
        <w:rPr>
          <w:rFonts w:ascii="Calibri" w:hAnsi="Calibri" w:cs="Calibri"/>
        </w:rPr>
        <w:t xml:space="preserve">direz-vous, </w:t>
      </w:r>
      <w:r>
        <w:rPr>
          <w:rFonts w:ascii="Calibri" w:hAnsi="Calibri" w:cs="Calibri"/>
        </w:rPr>
        <w:t>« </w:t>
      </w:r>
      <w:r w:rsidR="008F0B67">
        <w:rPr>
          <w:rFonts w:ascii="Calibri" w:hAnsi="Calibri" w:cs="Calibri"/>
        </w:rPr>
        <w:t xml:space="preserve">mais vous avez surement des marges de manœuvre pour faire face à cette </w:t>
      </w:r>
      <w:r w:rsidR="00BE6028">
        <w:rPr>
          <w:rFonts w:ascii="Calibri" w:hAnsi="Calibri" w:cs="Calibri"/>
        </w:rPr>
        <w:t>conjoncture ?</w:t>
      </w:r>
      <w:r>
        <w:rPr>
          <w:rFonts w:ascii="Calibri" w:hAnsi="Calibri" w:cs="Calibri"/>
        </w:rPr>
        <w:t> »</w:t>
      </w:r>
      <w:r w:rsidR="00BF6682">
        <w:rPr>
          <w:rFonts w:ascii="Calibri" w:hAnsi="Calibri" w:cs="Calibri"/>
        </w:rPr>
        <w:t xml:space="preserve"> </w:t>
      </w:r>
      <w:r w:rsidR="008F0B67">
        <w:rPr>
          <w:rFonts w:ascii="Calibri" w:hAnsi="Calibri" w:cs="Calibri"/>
        </w:rPr>
        <w:t>Malheureusement non ! Le modèle économique de nos résidences-FJT (et des résidences sociales en général) repose sur plusieurs particularités qui en font (faisai</w:t>
      </w:r>
      <w:r w:rsidR="003C7BB0">
        <w:rPr>
          <w:rFonts w:ascii="Calibri" w:hAnsi="Calibri" w:cs="Calibri"/>
        </w:rPr>
        <w:t>en</w:t>
      </w:r>
      <w:r w:rsidR="008F0B67">
        <w:rPr>
          <w:rFonts w:ascii="Calibri" w:hAnsi="Calibri" w:cs="Calibri"/>
        </w:rPr>
        <w:t xml:space="preserve">t) jusqu’à présent un modèle équilibré et très </w:t>
      </w:r>
      <w:proofErr w:type="spellStart"/>
      <w:r w:rsidR="008F0B67">
        <w:rPr>
          <w:rFonts w:ascii="Calibri" w:hAnsi="Calibri" w:cs="Calibri"/>
        </w:rPr>
        <w:t>sol</w:t>
      </w:r>
      <w:r w:rsidR="004E589E">
        <w:rPr>
          <w:rFonts w:ascii="Calibri" w:hAnsi="Calibri" w:cs="Calibri"/>
        </w:rPr>
        <w:t>v</w:t>
      </w:r>
      <w:r w:rsidR="008F0B67">
        <w:rPr>
          <w:rFonts w:ascii="Calibri" w:hAnsi="Calibri" w:cs="Calibri"/>
        </w:rPr>
        <w:t>abilisateur</w:t>
      </w:r>
      <w:proofErr w:type="spellEnd"/>
      <w:r w:rsidR="008F0B67">
        <w:rPr>
          <w:rFonts w:ascii="Calibri" w:hAnsi="Calibri" w:cs="Calibri"/>
        </w:rPr>
        <w:t xml:space="preserve"> pour les publics fragiles que nous accueillons.</w:t>
      </w:r>
    </w:p>
    <w:p w:rsidR="004E589E" w:rsidRDefault="00056A2B" w:rsidP="001644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  <w:r w:rsidRPr="008A421F">
        <w:rPr>
          <w:rFonts w:ascii="Calibri" w:hAnsi="Calibri" w:cs="Calibri"/>
          <w:b/>
        </w:rPr>
        <w:t>Nos</w:t>
      </w:r>
      <w:r w:rsidR="008F0B67" w:rsidRPr="008A421F">
        <w:rPr>
          <w:rFonts w:ascii="Calibri" w:hAnsi="Calibri" w:cs="Calibri"/>
          <w:b/>
        </w:rPr>
        <w:t xml:space="preserve"> redevance</w:t>
      </w:r>
      <w:r w:rsidRPr="008A421F">
        <w:rPr>
          <w:rFonts w:ascii="Calibri" w:hAnsi="Calibri" w:cs="Calibri"/>
          <w:b/>
        </w:rPr>
        <w:t>s</w:t>
      </w:r>
      <w:r w:rsidR="008F0B67" w:rsidRPr="008A421F">
        <w:rPr>
          <w:rFonts w:ascii="Calibri" w:hAnsi="Calibri" w:cs="Calibri"/>
          <w:b/>
        </w:rPr>
        <w:t xml:space="preserve"> </w:t>
      </w:r>
      <w:r w:rsidR="00D31C78" w:rsidRPr="008A421F">
        <w:rPr>
          <w:rFonts w:ascii="Calibri" w:hAnsi="Calibri" w:cs="Calibri"/>
          <w:b/>
        </w:rPr>
        <w:t>incluent</w:t>
      </w:r>
      <w:r w:rsidR="008F0B67" w:rsidRPr="008A421F">
        <w:rPr>
          <w:rFonts w:ascii="Calibri" w:hAnsi="Calibri" w:cs="Calibri"/>
          <w:b/>
        </w:rPr>
        <w:t xml:space="preserve"> un équivalent forfait charges</w:t>
      </w:r>
      <w:r w:rsidR="008F0B67">
        <w:rPr>
          <w:rFonts w:ascii="Calibri" w:hAnsi="Calibri" w:cs="Calibri"/>
        </w:rPr>
        <w:t xml:space="preserve"> pris en compte dans le calcul de l’APL qui nous interdit </w:t>
      </w:r>
      <w:r>
        <w:rPr>
          <w:rFonts w:ascii="Calibri" w:hAnsi="Calibri" w:cs="Calibri"/>
        </w:rPr>
        <w:t xml:space="preserve">(heureusement pour </w:t>
      </w:r>
      <w:r w:rsidR="004E589E">
        <w:rPr>
          <w:rFonts w:ascii="Calibri" w:hAnsi="Calibri" w:cs="Calibri"/>
        </w:rPr>
        <w:t xml:space="preserve">les </w:t>
      </w:r>
      <w:proofErr w:type="spellStart"/>
      <w:r w:rsidR="004E589E">
        <w:rPr>
          <w:rFonts w:ascii="Calibri" w:hAnsi="Calibri" w:cs="Calibri"/>
        </w:rPr>
        <w:t>résident</w:t>
      </w:r>
      <w:r w:rsidR="00BF6682">
        <w:rPr>
          <w:rFonts w:ascii="Calibri" w:hAnsi="Calibri" w:cs="Calibri"/>
        </w:rPr>
        <w:t>.</w:t>
      </w:r>
      <w:proofErr w:type="gramStart"/>
      <w:r w:rsidR="00BF6682">
        <w:rPr>
          <w:rFonts w:ascii="Calibri" w:hAnsi="Calibri" w:cs="Calibri"/>
        </w:rPr>
        <w:t>e.</w:t>
      </w:r>
      <w:r w:rsidR="004E589E">
        <w:rPr>
          <w:rFonts w:ascii="Calibri" w:hAnsi="Calibri" w:cs="Calibri"/>
        </w:rPr>
        <w:t>s</w:t>
      </w:r>
      <w:proofErr w:type="spellEnd"/>
      <w:proofErr w:type="gramEnd"/>
      <w:r>
        <w:rPr>
          <w:rFonts w:ascii="Calibri" w:hAnsi="Calibri" w:cs="Calibri"/>
        </w:rPr>
        <w:t xml:space="preserve">) </w:t>
      </w:r>
      <w:r w:rsidR="008F0B67">
        <w:rPr>
          <w:rFonts w:ascii="Calibri" w:hAnsi="Calibri" w:cs="Calibri"/>
        </w:rPr>
        <w:t>de</w:t>
      </w:r>
      <w:r w:rsidR="004A40E6">
        <w:rPr>
          <w:rFonts w:ascii="Calibri" w:hAnsi="Calibri" w:cs="Calibri"/>
        </w:rPr>
        <w:t xml:space="preserve"> leur</w:t>
      </w:r>
      <w:r w:rsidR="008F0B67">
        <w:rPr>
          <w:rFonts w:ascii="Calibri" w:hAnsi="Calibri" w:cs="Calibri"/>
        </w:rPr>
        <w:t xml:space="preserve"> répercuter les augmentations décrites</w:t>
      </w:r>
      <w:r w:rsidR="004A40E6">
        <w:rPr>
          <w:rFonts w:ascii="Calibri" w:hAnsi="Calibri" w:cs="Calibri"/>
        </w:rPr>
        <w:t>.</w:t>
      </w:r>
      <w:r w:rsidR="008F0B67">
        <w:rPr>
          <w:rFonts w:ascii="Calibri" w:hAnsi="Calibri" w:cs="Calibri"/>
        </w:rPr>
        <w:t xml:space="preserve"> </w:t>
      </w:r>
    </w:p>
    <w:p w:rsidR="00056A2B" w:rsidRDefault="00056A2B" w:rsidP="001644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Nos redevances sont strictement encadrées et l’augmentation de </w:t>
      </w:r>
      <w:r w:rsidR="00D31C78">
        <w:rPr>
          <w:rFonts w:ascii="Calibri" w:hAnsi="Calibri" w:cs="Calibri"/>
        </w:rPr>
        <w:t>3,6 %</w:t>
      </w:r>
      <w:r>
        <w:rPr>
          <w:rFonts w:ascii="Calibri" w:hAnsi="Calibri" w:cs="Calibri"/>
        </w:rPr>
        <w:t xml:space="preserve"> (indice IRL) prévue au 1</w:t>
      </w:r>
      <w:r w:rsidRPr="00056A2B">
        <w:rPr>
          <w:rFonts w:ascii="Calibri" w:hAnsi="Calibri" w:cs="Calibri"/>
          <w:vertAlign w:val="superscript"/>
        </w:rPr>
        <w:t>er</w:t>
      </w:r>
      <w:r>
        <w:rPr>
          <w:rFonts w:ascii="Calibri" w:hAnsi="Calibri" w:cs="Calibri"/>
        </w:rPr>
        <w:t xml:space="preserve"> </w:t>
      </w:r>
      <w:r w:rsidR="00BE6028">
        <w:rPr>
          <w:rFonts w:ascii="Calibri" w:hAnsi="Calibri" w:cs="Calibri"/>
        </w:rPr>
        <w:t>janvier ne</w:t>
      </w:r>
      <w:r w:rsidR="004E589E">
        <w:rPr>
          <w:rFonts w:ascii="Calibri" w:hAnsi="Calibri" w:cs="Calibri"/>
        </w:rPr>
        <w:t xml:space="preserve"> couvre qu’une </w:t>
      </w:r>
      <w:r w:rsidR="00BE6028">
        <w:rPr>
          <w:rFonts w:ascii="Calibri" w:hAnsi="Calibri" w:cs="Calibri"/>
        </w:rPr>
        <w:t>faible partie</w:t>
      </w:r>
      <w:r w:rsidR="004E589E">
        <w:rPr>
          <w:rFonts w:ascii="Calibri" w:hAnsi="Calibri" w:cs="Calibri"/>
        </w:rPr>
        <w:t xml:space="preserve"> </w:t>
      </w:r>
      <w:r w:rsidR="00BE6028">
        <w:rPr>
          <w:rFonts w:ascii="Calibri" w:hAnsi="Calibri" w:cs="Calibri"/>
        </w:rPr>
        <w:t>des montants</w:t>
      </w:r>
      <w:r>
        <w:rPr>
          <w:rFonts w:ascii="Calibri" w:hAnsi="Calibri" w:cs="Calibri"/>
        </w:rPr>
        <w:t xml:space="preserve"> en</w:t>
      </w:r>
      <w:bookmarkStart w:id="0" w:name="_GoBack"/>
      <w:bookmarkEnd w:id="0"/>
      <w:r>
        <w:rPr>
          <w:rFonts w:ascii="Calibri" w:hAnsi="Calibri" w:cs="Calibri"/>
        </w:rPr>
        <w:t xml:space="preserve"> jeu.</w:t>
      </w:r>
    </w:p>
    <w:p w:rsidR="00BE3208" w:rsidRDefault="00056A2B" w:rsidP="001644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Nos équilibres </w:t>
      </w:r>
      <w:r w:rsidR="009F1113">
        <w:rPr>
          <w:rFonts w:ascii="Calibri" w:hAnsi="Calibri" w:cs="Calibri"/>
        </w:rPr>
        <w:t>d’</w:t>
      </w:r>
      <w:r>
        <w:rPr>
          <w:rFonts w:ascii="Calibri" w:hAnsi="Calibri" w:cs="Calibri"/>
        </w:rPr>
        <w:t>exploitation sont calculés sur un principe de transparence.</w:t>
      </w:r>
      <w:r w:rsidR="00A120F6">
        <w:rPr>
          <w:rFonts w:ascii="Calibri" w:hAnsi="Calibri" w:cs="Calibri"/>
        </w:rPr>
        <w:t> N</w:t>
      </w:r>
      <w:r>
        <w:rPr>
          <w:rFonts w:ascii="Calibri" w:hAnsi="Calibri" w:cs="Calibri"/>
        </w:rPr>
        <w:t>os charges comprennent l’intégralité des co</w:t>
      </w:r>
      <w:r w:rsidR="009F1113">
        <w:rPr>
          <w:rFonts w:ascii="Calibri" w:hAnsi="Calibri" w:cs="Calibri"/>
        </w:rPr>
        <w:t>û</w:t>
      </w:r>
      <w:r>
        <w:rPr>
          <w:rFonts w:ascii="Calibri" w:hAnsi="Calibri" w:cs="Calibri"/>
        </w:rPr>
        <w:t>ts de construction amortis sur 40 ans et plus</w:t>
      </w:r>
      <w:r w:rsidR="00A120F6">
        <w:rPr>
          <w:rFonts w:ascii="Calibri" w:hAnsi="Calibri" w:cs="Calibri"/>
        </w:rPr>
        <w:t>, ainsi que</w:t>
      </w:r>
      <w:r>
        <w:rPr>
          <w:rFonts w:ascii="Calibri" w:hAnsi="Calibri" w:cs="Calibri"/>
        </w:rPr>
        <w:t xml:space="preserve"> des co</w:t>
      </w:r>
      <w:r w:rsidR="00A120F6">
        <w:rPr>
          <w:rFonts w:ascii="Calibri" w:hAnsi="Calibri" w:cs="Calibri"/>
        </w:rPr>
        <w:t>û</w:t>
      </w:r>
      <w:r>
        <w:rPr>
          <w:rFonts w:ascii="Calibri" w:hAnsi="Calibri" w:cs="Calibri"/>
        </w:rPr>
        <w:t xml:space="preserve">ts de gestion </w:t>
      </w:r>
      <w:r w:rsidR="00D31C78">
        <w:rPr>
          <w:rFonts w:ascii="Calibri" w:hAnsi="Calibri" w:cs="Calibri"/>
        </w:rPr>
        <w:t>(fluides,</w:t>
      </w:r>
      <w:r>
        <w:rPr>
          <w:rFonts w:ascii="Calibri" w:hAnsi="Calibri" w:cs="Calibri"/>
        </w:rPr>
        <w:t xml:space="preserve"> entretiens et gestion locative) pour lesquels notre autorité de </w:t>
      </w:r>
      <w:r>
        <w:rPr>
          <w:rFonts w:ascii="Calibri" w:hAnsi="Calibri" w:cs="Calibri"/>
        </w:rPr>
        <w:lastRenderedPageBreak/>
        <w:t>tutelle (</w:t>
      </w:r>
      <w:r w:rsidR="00A120F6">
        <w:rPr>
          <w:rFonts w:ascii="Calibri" w:hAnsi="Calibri" w:cs="Calibri"/>
        </w:rPr>
        <w:t>l’</w:t>
      </w:r>
      <w:r w:rsidR="00D31C78">
        <w:rPr>
          <w:rFonts w:ascii="Calibri" w:hAnsi="Calibri" w:cs="Calibri"/>
        </w:rPr>
        <w:t>État</w:t>
      </w:r>
      <w:r>
        <w:rPr>
          <w:rFonts w:ascii="Calibri" w:hAnsi="Calibri" w:cs="Calibri"/>
        </w:rPr>
        <w:t xml:space="preserve">) veille à ce </w:t>
      </w:r>
      <w:r w:rsidR="00BE6028">
        <w:rPr>
          <w:rFonts w:ascii="Calibri" w:hAnsi="Calibri" w:cs="Calibri"/>
        </w:rPr>
        <w:t>qu’ils soient</w:t>
      </w:r>
      <w:r>
        <w:rPr>
          <w:rFonts w:ascii="Calibri" w:hAnsi="Calibri" w:cs="Calibri"/>
        </w:rPr>
        <w:t xml:space="preserve"> calculés au co</w:t>
      </w:r>
      <w:r w:rsidR="00BE3208">
        <w:rPr>
          <w:rFonts w:ascii="Calibri" w:hAnsi="Calibri" w:cs="Calibri"/>
        </w:rPr>
        <w:t>û</w:t>
      </w:r>
      <w:r>
        <w:rPr>
          <w:rFonts w:ascii="Calibri" w:hAnsi="Calibri" w:cs="Calibri"/>
        </w:rPr>
        <w:t xml:space="preserve">t réel. </w:t>
      </w:r>
      <w:r w:rsidR="00496093" w:rsidRPr="004C5C1A">
        <w:rPr>
          <w:rFonts w:ascii="Calibri" w:hAnsi="Calibri" w:cs="Calibri"/>
          <w:b/>
        </w:rPr>
        <w:t>La finalité est de</w:t>
      </w:r>
      <w:r w:rsidRPr="004C5C1A">
        <w:rPr>
          <w:rFonts w:ascii="Calibri" w:hAnsi="Calibri" w:cs="Calibri"/>
          <w:b/>
        </w:rPr>
        <w:t xml:space="preserve"> garantir un niveau de redevance le plus bas possible pour les publics ciblés</w:t>
      </w:r>
      <w:r>
        <w:rPr>
          <w:rFonts w:ascii="Calibri" w:hAnsi="Calibri" w:cs="Calibri"/>
        </w:rPr>
        <w:t>.</w:t>
      </w:r>
      <w:r w:rsidR="00BE3208">
        <w:rPr>
          <w:rFonts w:ascii="Calibri" w:hAnsi="Calibri" w:cs="Calibri"/>
        </w:rPr>
        <w:t xml:space="preserve"> </w:t>
      </w:r>
    </w:p>
    <w:p w:rsidR="004E589E" w:rsidRDefault="004E589E" w:rsidP="001644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056A2B" w:rsidRDefault="00056A2B" w:rsidP="001644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  <w:r w:rsidRPr="004C5C1A">
        <w:rPr>
          <w:rFonts w:ascii="Calibri" w:hAnsi="Calibri" w:cs="Calibri"/>
          <w:b/>
        </w:rPr>
        <w:t>Déjà précarisé</w:t>
      </w:r>
      <w:r w:rsidR="00B04F3B" w:rsidRPr="004C5C1A">
        <w:rPr>
          <w:rFonts w:ascii="Calibri" w:hAnsi="Calibri" w:cs="Calibri"/>
          <w:b/>
        </w:rPr>
        <w:t>s</w:t>
      </w:r>
      <w:r w:rsidRPr="004C5C1A">
        <w:rPr>
          <w:rFonts w:ascii="Calibri" w:hAnsi="Calibri" w:cs="Calibri"/>
          <w:b/>
        </w:rPr>
        <w:t xml:space="preserve"> par le gel de l’indice d’actualisation sur plusieurs années</w:t>
      </w:r>
      <w:r>
        <w:rPr>
          <w:rFonts w:ascii="Calibri" w:hAnsi="Calibri" w:cs="Calibri"/>
        </w:rPr>
        <w:t xml:space="preserve"> et l’augmentation de</w:t>
      </w:r>
      <w:r w:rsidR="00B04F3B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charges sans capacité d’agir sur </w:t>
      </w:r>
      <w:r w:rsidR="00B04F3B">
        <w:rPr>
          <w:rFonts w:ascii="Calibri" w:hAnsi="Calibri" w:cs="Calibri"/>
        </w:rPr>
        <w:t>le</w:t>
      </w:r>
      <w:r>
        <w:rPr>
          <w:rFonts w:ascii="Calibri" w:hAnsi="Calibri" w:cs="Calibri"/>
        </w:rPr>
        <w:t xml:space="preserve">s ressources, </w:t>
      </w:r>
      <w:r w:rsidR="00BE3208">
        <w:rPr>
          <w:rFonts w:ascii="Calibri" w:hAnsi="Calibri" w:cs="Calibri"/>
        </w:rPr>
        <w:t>nos gestionnaires se retrouvent (au fur et à mesure des renouvellements des contrats de fournitures) face à une impasse totale.</w:t>
      </w:r>
    </w:p>
    <w:p w:rsidR="00BE3208" w:rsidRDefault="00BE3208" w:rsidP="001644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Oui, nous pouvons provisoirement geler certains travaux </w:t>
      </w:r>
      <w:r w:rsidR="00EA6FBF">
        <w:rPr>
          <w:rFonts w:ascii="Calibri" w:hAnsi="Calibri" w:cs="Calibri"/>
        </w:rPr>
        <w:t>d’</w:t>
      </w:r>
      <w:r>
        <w:rPr>
          <w:rFonts w:ascii="Calibri" w:hAnsi="Calibri" w:cs="Calibri"/>
        </w:rPr>
        <w:t xml:space="preserve">entretien, limiter nos recrutements, reporter quelques dépenses. Au bout du </w:t>
      </w:r>
      <w:r w:rsidR="00D31C78">
        <w:rPr>
          <w:rFonts w:ascii="Calibri" w:hAnsi="Calibri" w:cs="Calibri"/>
        </w:rPr>
        <w:t>compte,</w:t>
      </w:r>
      <w:r>
        <w:rPr>
          <w:rFonts w:ascii="Calibri" w:hAnsi="Calibri" w:cs="Calibri"/>
        </w:rPr>
        <w:t xml:space="preserve"> cela ne suffira absolument pas.</w:t>
      </w:r>
    </w:p>
    <w:p w:rsidR="004E589E" w:rsidRDefault="004E589E" w:rsidP="001644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BE3208" w:rsidRPr="004C5C1A" w:rsidRDefault="00C11CFE" w:rsidP="001644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b/>
        </w:rPr>
      </w:pPr>
      <w:r w:rsidRPr="004C5C1A">
        <w:rPr>
          <w:rFonts w:ascii="Calibri" w:hAnsi="Calibri" w:cs="Calibri"/>
          <w:b/>
        </w:rPr>
        <w:t xml:space="preserve">Nous accueillons actuellement </w:t>
      </w:r>
      <w:r w:rsidR="0020596B">
        <w:rPr>
          <w:rFonts w:ascii="Calibri" w:hAnsi="Calibri" w:cs="Calibri"/>
          <w:b/>
        </w:rPr>
        <w:t xml:space="preserve">plus de </w:t>
      </w:r>
      <w:r w:rsidRPr="004C5C1A">
        <w:rPr>
          <w:rFonts w:ascii="Calibri" w:hAnsi="Calibri" w:cs="Calibri"/>
          <w:b/>
        </w:rPr>
        <w:t xml:space="preserve">16 000 jeunes par an, il est de notre responsabilité et </w:t>
      </w:r>
      <w:r w:rsidR="00EA6FBF" w:rsidRPr="004C5C1A">
        <w:rPr>
          <w:rFonts w:ascii="Calibri" w:hAnsi="Calibri" w:cs="Calibri"/>
          <w:b/>
        </w:rPr>
        <w:t xml:space="preserve">de </w:t>
      </w:r>
      <w:r w:rsidRPr="004C5C1A">
        <w:rPr>
          <w:rFonts w:ascii="Calibri" w:hAnsi="Calibri" w:cs="Calibri"/>
          <w:b/>
        </w:rPr>
        <w:t>celle de nos partenaires de tout faire pour maintenir cette capacité d’accueil et d’accompagnement.</w:t>
      </w:r>
    </w:p>
    <w:p w:rsidR="004E589E" w:rsidRDefault="004E589E" w:rsidP="001644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4E589E" w:rsidRDefault="00C11CFE" w:rsidP="001644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Que faire ? Au-delà des débats européens et nationaux en cours sur différentes formes de plafonnements, </w:t>
      </w:r>
      <w:r w:rsidRPr="004C5C1A">
        <w:rPr>
          <w:rFonts w:ascii="Calibri" w:hAnsi="Calibri" w:cs="Calibri"/>
          <w:b/>
        </w:rPr>
        <w:t xml:space="preserve">nous avons besoin de mesures concrètes et immédiates pour tenir </w:t>
      </w:r>
      <w:r w:rsidR="00490375">
        <w:rPr>
          <w:rFonts w:ascii="Calibri" w:hAnsi="Calibri" w:cs="Calibri"/>
          <w:b/>
        </w:rPr>
        <w:t>l</w:t>
      </w:r>
      <w:r w:rsidR="004E589E" w:rsidRPr="004C5C1A">
        <w:rPr>
          <w:rFonts w:ascii="Calibri" w:hAnsi="Calibri" w:cs="Calibri"/>
          <w:b/>
        </w:rPr>
        <w:t>e choc</w:t>
      </w:r>
      <w:r w:rsidR="004E589E">
        <w:rPr>
          <w:rFonts w:ascii="Calibri" w:hAnsi="Calibri" w:cs="Calibri"/>
        </w:rPr>
        <w:t xml:space="preserve"> qui ébranle </w:t>
      </w:r>
      <w:r w:rsidR="00490375">
        <w:rPr>
          <w:rFonts w:ascii="Calibri" w:hAnsi="Calibri" w:cs="Calibri"/>
        </w:rPr>
        <w:t>nos organisations</w:t>
      </w:r>
      <w:r w:rsidR="00BE6028">
        <w:rPr>
          <w:rFonts w:ascii="Calibri" w:hAnsi="Calibri" w:cs="Calibri"/>
        </w:rPr>
        <w:t xml:space="preserve"> :</w:t>
      </w:r>
      <w:r w:rsidR="004E589E">
        <w:rPr>
          <w:rFonts w:ascii="Calibri" w:hAnsi="Calibri" w:cs="Calibri"/>
        </w:rPr>
        <w:t xml:space="preserve"> </w:t>
      </w:r>
    </w:p>
    <w:p w:rsidR="00C11CFE" w:rsidRDefault="00C11CFE" w:rsidP="001644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C11CFE" w:rsidRPr="008A7AAC" w:rsidRDefault="00C2541F" w:rsidP="00164415">
      <w:pPr>
        <w:pStyle w:val="Paragraphedeliste"/>
        <w:numPr>
          <w:ilvl w:val="0"/>
          <w:numId w:val="6"/>
        </w:numP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A7AAC">
        <w:rPr>
          <w:rFonts w:ascii="Calibri" w:hAnsi="Calibri" w:cs="Calibri"/>
        </w:rPr>
        <w:t>Mise en place</w:t>
      </w:r>
      <w:r w:rsidRPr="00164415">
        <w:rPr>
          <w:rFonts w:ascii="Calibri" w:hAnsi="Calibri" w:cs="Calibri"/>
          <w:b/>
        </w:rPr>
        <w:t xml:space="preserve"> d’un</w:t>
      </w:r>
      <w:r w:rsidR="00C11CFE" w:rsidRPr="00164415">
        <w:rPr>
          <w:rFonts w:ascii="Calibri" w:hAnsi="Calibri" w:cs="Calibri"/>
          <w:b/>
        </w:rPr>
        <w:t xml:space="preserve"> chèque énergie structure </w:t>
      </w:r>
      <w:r w:rsidR="00C11CFE" w:rsidRPr="008A7AAC">
        <w:rPr>
          <w:rFonts w:ascii="Calibri" w:hAnsi="Calibri" w:cs="Calibri"/>
        </w:rPr>
        <w:t xml:space="preserve">pour nos résidences au regard de leur modalité </w:t>
      </w:r>
      <w:r w:rsidR="00BE6028" w:rsidRPr="008A7AAC">
        <w:rPr>
          <w:rFonts w:ascii="Calibri" w:hAnsi="Calibri" w:cs="Calibri"/>
        </w:rPr>
        <w:t xml:space="preserve">spécifique </w:t>
      </w:r>
      <w:r w:rsidR="00C11CFE" w:rsidRPr="008A7AAC">
        <w:rPr>
          <w:rFonts w:ascii="Calibri" w:hAnsi="Calibri" w:cs="Calibri"/>
        </w:rPr>
        <w:t>de calcul de la redevance</w:t>
      </w:r>
    </w:p>
    <w:p w:rsidR="005F7BE7" w:rsidRPr="008A7AAC" w:rsidRDefault="005F7BE7" w:rsidP="00164415">
      <w:pPr>
        <w:pStyle w:val="Paragraphedeliste"/>
        <w:numPr>
          <w:ilvl w:val="0"/>
          <w:numId w:val="6"/>
        </w:numP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64415">
        <w:rPr>
          <w:rFonts w:ascii="Calibri" w:hAnsi="Calibri" w:cs="Calibri"/>
          <w:b/>
        </w:rPr>
        <w:t xml:space="preserve">Maintien du bouclier gaz </w:t>
      </w:r>
      <w:r w:rsidRPr="008A7AAC">
        <w:rPr>
          <w:rFonts w:ascii="Calibri" w:hAnsi="Calibri" w:cs="Calibri"/>
        </w:rPr>
        <w:t>au-delà des échéances trimestrielles en cours</w:t>
      </w:r>
    </w:p>
    <w:p w:rsidR="005F7BE7" w:rsidRPr="008A7AAC" w:rsidRDefault="005F7BE7" w:rsidP="00164415">
      <w:pPr>
        <w:pStyle w:val="Paragraphedeliste"/>
        <w:numPr>
          <w:ilvl w:val="0"/>
          <w:numId w:val="6"/>
        </w:numP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64415">
        <w:rPr>
          <w:rFonts w:ascii="Calibri" w:hAnsi="Calibri" w:cs="Calibri"/>
          <w:b/>
        </w:rPr>
        <w:t xml:space="preserve">Création d’un bouclier pour l’électricité </w:t>
      </w:r>
      <w:r w:rsidRPr="008A7AAC">
        <w:rPr>
          <w:rFonts w:ascii="Calibri" w:hAnsi="Calibri" w:cs="Calibri"/>
        </w:rPr>
        <w:t>dans les mêmes conditions que le gaz</w:t>
      </w:r>
      <w:r w:rsidR="0007288B" w:rsidRPr="008A7AAC">
        <w:rPr>
          <w:rFonts w:ascii="Calibri" w:hAnsi="Calibri" w:cs="Calibri"/>
        </w:rPr>
        <w:t xml:space="preserve"> et</w:t>
      </w:r>
      <w:r w:rsidR="00BB2ABB" w:rsidRPr="008A7AAC">
        <w:rPr>
          <w:rFonts w:ascii="Calibri" w:hAnsi="Calibri" w:cs="Calibri"/>
        </w:rPr>
        <w:t>/</w:t>
      </w:r>
      <w:r w:rsidR="0007288B" w:rsidRPr="008A7AAC">
        <w:rPr>
          <w:rFonts w:ascii="Calibri" w:hAnsi="Calibri" w:cs="Calibri"/>
        </w:rPr>
        <w:t xml:space="preserve">ou </w:t>
      </w:r>
      <w:r w:rsidR="00BB2ABB" w:rsidRPr="008A7AAC">
        <w:rPr>
          <w:rFonts w:ascii="Calibri" w:hAnsi="Calibri" w:cs="Calibri"/>
        </w:rPr>
        <w:t>nous faire bénéficier des tarifs des particuliers (encore réglementés)</w:t>
      </w:r>
    </w:p>
    <w:p w:rsidR="005F7BE7" w:rsidRPr="00164415" w:rsidRDefault="005F7BE7" w:rsidP="00164415">
      <w:pPr>
        <w:pStyle w:val="Paragraphedeliste"/>
        <w:numPr>
          <w:ilvl w:val="0"/>
          <w:numId w:val="6"/>
        </w:numP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164415">
        <w:rPr>
          <w:rFonts w:ascii="Calibri" w:hAnsi="Calibri" w:cs="Calibri"/>
          <w:b/>
        </w:rPr>
        <w:t xml:space="preserve">Création d’un fonds d’urgence dès 2023 pour aider les </w:t>
      </w:r>
      <w:r w:rsidR="00490375">
        <w:rPr>
          <w:rFonts w:ascii="Calibri" w:hAnsi="Calibri" w:cs="Calibri"/>
          <w:b/>
        </w:rPr>
        <w:t>établissements</w:t>
      </w:r>
      <w:r w:rsidRPr="00164415">
        <w:rPr>
          <w:rFonts w:ascii="Calibri" w:hAnsi="Calibri" w:cs="Calibri"/>
          <w:b/>
        </w:rPr>
        <w:t xml:space="preserve"> devenus structurellement déficitaires</w:t>
      </w:r>
      <w:r w:rsidR="004E589E" w:rsidRPr="00164415">
        <w:rPr>
          <w:rFonts w:ascii="Calibri" w:hAnsi="Calibri" w:cs="Calibri"/>
          <w:b/>
        </w:rPr>
        <w:t xml:space="preserve"> </w:t>
      </w:r>
      <w:r w:rsidR="004E589E" w:rsidRPr="008A7AAC">
        <w:rPr>
          <w:rFonts w:ascii="Calibri" w:hAnsi="Calibri" w:cs="Calibri"/>
        </w:rPr>
        <w:t>à passer le cap de cette crise énergétique et politique</w:t>
      </w:r>
    </w:p>
    <w:p w:rsidR="005F7BE7" w:rsidRDefault="005F7BE7" w:rsidP="001644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5F7BE7" w:rsidRDefault="00D31C78" w:rsidP="001644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À</w:t>
      </w:r>
      <w:r w:rsidR="005F7BE7">
        <w:rPr>
          <w:rFonts w:ascii="Calibri" w:hAnsi="Calibri" w:cs="Calibri"/>
        </w:rPr>
        <w:t xml:space="preserve"> moyen terme</w:t>
      </w:r>
      <w:r w:rsidR="008A7AAC" w:rsidRPr="008A7AAC">
        <w:rPr>
          <w:rFonts w:ascii="Calibri" w:hAnsi="Calibri" w:cs="Calibri"/>
        </w:rPr>
        <w:t>, il nous apparaît également qu’une remise à plat, avec nos partenaires, de notre modèle économique est clairement devenue indispensable</w:t>
      </w:r>
      <w:r w:rsidR="008A7AAC">
        <w:rPr>
          <w:rFonts w:ascii="Calibri" w:hAnsi="Calibri" w:cs="Calibri"/>
        </w:rPr>
        <w:t xml:space="preserve">. </w:t>
      </w:r>
      <w:r w:rsidR="006137B0">
        <w:rPr>
          <w:rFonts w:ascii="Calibri" w:hAnsi="Calibri" w:cs="Calibri"/>
        </w:rPr>
        <w:t>La</w:t>
      </w:r>
      <w:r w:rsidR="005F7BE7">
        <w:rPr>
          <w:rFonts w:ascii="Calibri" w:hAnsi="Calibri" w:cs="Calibri"/>
        </w:rPr>
        <w:t xml:space="preserve"> gestion des projets actuels est très préoccupante, </w:t>
      </w:r>
      <w:r w:rsidR="006137B0">
        <w:rPr>
          <w:rFonts w:ascii="Calibri" w:hAnsi="Calibri" w:cs="Calibri"/>
        </w:rPr>
        <w:t xml:space="preserve">mais </w:t>
      </w:r>
      <w:r w:rsidR="005F7BE7">
        <w:rPr>
          <w:rFonts w:ascii="Calibri" w:hAnsi="Calibri" w:cs="Calibri"/>
        </w:rPr>
        <w:t>notre capacité à produire de nouveau</w:t>
      </w:r>
      <w:r w:rsidR="00C2541F">
        <w:rPr>
          <w:rFonts w:ascii="Calibri" w:hAnsi="Calibri" w:cs="Calibri"/>
        </w:rPr>
        <w:t>x</w:t>
      </w:r>
      <w:r w:rsidR="005F7BE7">
        <w:rPr>
          <w:rFonts w:ascii="Calibri" w:hAnsi="Calibri" w:cs="Calibri"/>
        </w:rPr>
        <w:t xml:space="preserve"> projet</w:t>
      </w:r>
      <w:r w:rsidR="00C2541F">
        <w:rPr>
          <w:rFonts w:ascii="Calibri" w:hAnsi="Calibri" w:cs="Calibri"/>
        </w:rPr>
        <w:t>s</w:t>
      </w:r>
      <w:r w:rsidR="005F7BE7">
        <w:rPr>
          <w:rFonts w:ascii="Calibri" w:hAnsi="Calibri" w:cs="Calibri"/>
        </w:rPr>
        <w:t xml:space="preserve"> est aussi impactée par un contexte qui cumul</w:t>
      </w:r>
      <w:r w:rsidR="004E589E">
        <w:rPr>
          <w:rFonts w:ascii="Calibri" w:hAnsi="Calibri" w:cs="Calibri"/>
        </w:rPr>
        <w:t>e</w:t>
      </w:r>
      <w:r w:rsidR="005F7BE7">
        <w:rPr>
          <w:rFonts w:ascii="Calibri" w:hAnsi="Calibri" w:cs="Calibri"/>
        </w:rPr>
        <w:t xml:space="preserve"> toutes les difficultés énoncées plus haut et l’explosion des coûts de production des nouveaux bâtiments.</w:t>
      </w:r>
    </w:p>
    <w:p w:rsidR="008A7AAC" w:rsidRDefault="008A7AAC" w:rsidP="001644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8A7AAC" w:rsidRDefault="008A7AAC" w:rsidP="008A7AA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Patrick PANNEVEL</w:t>
      </w:r>
    </w:p>
    <w:p w:rsidR="008A7AAC" w:rsidRDefault="008A7AAC" w:rsidP="008A7AA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Président de l’URHAJ Ile-de-France</w:t>
      </w:r>
    </w:p>
    <w:p w:rsidR="004C5C1A" w:rsidRDefault="004C5C1A" w:rsidP="001644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4C5C1A" w:rsidRDefault="004C5C1A" w:rsidP="001644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5181600" cy="2159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788" cy="216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415" w:rsidRPr="00164415" w:rsidRDefault="004C5C1A" w:rsidP="001644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b/>
        </w:rPr>
      </w:pPr>
      <w:r w:rsidRPr="00164415">
        <w:rPr>
          <w:rFonts w:ascii="Calibri" w:hAnsi="Calibri" w:cs="Calibri"/>
          <w:b/>
        </w:rPr>
        <w:t xml:space="preserve">Contact : </w:t>
      </w:r>
    </w:p>
    <w:p w:rsidR="00164415" w:rsidRDefault="004C5C1A" w:rsidP="001644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Jérôme CACCIAGUERRA – Directeur </w:t>
      </w:r>
    </w:p>
    <w:p w:rsidR="00164415" w:rsidRDefault="0020596B" w:rsidP="001644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  <w:hyperlink r:id="rId9" w:history="1">
        <w:r w:rsidR="00164415" w:rsidRPr="003324C4">
          <w:rPr>
            <w:rStyle w:val="Lienhypertexte"/>
            <w:rFonts w:ascii="Calibri" w:hAnsi="Calibri" w:cs="Calibri"/>
          </w:rPr>
          <w:t>j.cacciaguerra@urhaj-idf.fr</w:t>
        </w:r>
      </w:hyperlink>
      <w:r w:rsidR="004C5C1A">
        <w:rPr>
          <w:rFonts w:ascii="Calibri" w:hAnsi="Calibri" w:cs="Calibri"/>
        </w:rPr>
        <w:t xml:space="preserve"> </w:t>
      </w:r>
    </w:p>
    <w:p w:rsidR="004B148D" w:rsidRDefault="004C5C1A" w:rsidP="008A7AAC">
      <w:pPr>
        <w:autoSpaceDE w:val="0"/>
        <w:autoSpaceDN w:val="0"/>
        <w:adjustRightInd w:val="0"/>
        <w:spacing w:after="0" w:line="240" w:lineRule="auto"/>
        <w:ind w:left="567"/>
        <w:jc w:val="both"/>
      </w:pPr>
      <w:r>
        <w:rPr>
          <w:rFonts w:ascii="Calibri" w:hAnsi="Calibri" w:cs="Calibri"/>
        </w:rPr>
        <w:t>06 77 85 55 92</w:t>
      </w:r>
    </w:p>
    <w:sectPr w:rsidR="004B148D" w:rsidSect="00164415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21F" w:rsidRDefault="008A421F" w:rsidP="008A421F">
      <w:pPr>
        <w:spacing w:after="0" w:line="240" w:lineRule="auto"/>
      </w:pPr>
      <w:r>
        <w:separator/>
      </w:r>
    </w:p>
  </w:endnote>
  <w:endnote w:type="continuationSeparator" w:id="0">
    <w:p w:rsidR="008A421F" w:rsidRDefault="008A421F" w:rsidP="008A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21F" w:rsidRDefault="008A421F" w:rsidP="008A421F">
      <w:pPr>
        <w:spacing w:after="0" w:line="240" w:lineRule="auto"/>
      </w:pPr>
      <w:r>
        <w:separator/>
      </w:r>
    </w:p>
  </w:footnote>
  <w:footnote w:type="continuationSeparator" w:id="0">
    <w:p w:rsidR="008A421F" w:rsidRDefault="008A421F" w:rsidP="008A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6E3"/>
    <w:multiLevelType w:val="hybridMultilevel"/>
    <w:tmpl w:val="E5580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23A4C"/>
    <w:multiLevelType w:val="hybridMultilevel"/>
    <w:tmpl w:val="8DE2909E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A0C3E95"/>
    <w:multiLevelType w:val="hybridMultilevel"/>
    <w:tmpl w:val="164CD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2027C"/>
    <w:multiLevelType w:val="hybridMultilevel"/>
    <w:tmpl w:val="07442996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3571571"/>
    <w:multiLevelType w:val="hybridMultilevel"/>
    <w:tmpl w:val="6ED41E2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F0945F9"/>
    <w:multiLevelType w:val="hybridMultilevel"/>
    <w:tmpl w:val="AF0E55B0"/>
    <w:lvl w:ilvl="0" w:tplc="06D0C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D2"/>
    <w:rsid w:val="00056A2B"/>
    <w:rsid w:val="0007288B"/>
    <w:rsid w:val="000F5935"/>
    <w:rsid w:val="00122D5E"/>
    <w:rsid w:val="00164415"/>
    <w:rsid w:val="002036CE"/>
    <w:rsid w:val="0020596B"/>
    <w:rsid w:val="002512B3"/>
    <w:rsid w:val="003C7BB0"/>
    <w:rsid w:val="003F7C92"/>
    <w:rsid w:val="00490375"/>
    <w:rsid w:val="00496093"/>
    <w:rsid w:val="004A1B7B"/>
    <w:rsid w:val="004A40E6"/>
    <w:rsid w:val="004B148D"/>
    <w:rsid w:val="004C5C1A"/>
    <w:rsid w:val="004E589E"/>
    <w:rsid w:val="005F7BE7"/>
    <w:rsid w:val="006137B0"/>
    <w:rsid w:val="00627683"/>
    <w:rsid w:val="007B2EF1"/>
    <w:rsid w:val="008574AE"/>
    <w:rsid w:val="008726D1"/>
    <w:rsid w:val="008A421F"/>
    <w:rsid w:val="008A7AAC"/>
    <w:rsid w:val="008C4FD2"/>
    <w:rsid w:val="008F0B67"/>
    <w:rsid w:val="009F1113"/>
    <w:rsid w:val="00A120F6"/>
    <w:rsid w:val="00B04F3B"/>
    <w:rsid w:val="00BB2ABB"/>
    <w:rsid w:val="00BE3208"/>
    <w:rsid w:val="00BE6028"/>
    <w:rsid w:val="00BF6682"/>
    <w:rsid w:val="00C11CFE"/>
    <w:rsid w:val="00C2541F"/>
    <w:rsid w:val="00CA2F79"/>
    <w:rsid w:val="00D31C78"/>
    <w:rsid w:val="00E17160"/>
    <w:rsid w:val="00E91F6F"/>
    <w:rsid w:val="00EA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C74213"/>
  <w15:chartTrackingRefBased/>
  <w15:docId w15:val="{5E85A3A9-8E09-4481-B94B-52328D42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1B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C4FD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11CFE"/>
    <w:pPr>
      <w:ind w:left="720"/>
      <w:contextualSpacing/>
    </w:pPr>
  </w:style>
  <w:style w:type="paragraph" w:customStyle="1" w:styleId="04xlpa">
    <w:name w:val="_04xlpa"/>
    <w:basedOn w:val="Normal"/>
    <w:rsid w:val="005F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5F7BE7"/>
  </w:style>
  <w:style w:type="paragraph" w:styleId="Textedebulles">
    <w:name w:val="Balloon Text"/>
    <w:basedOn w:val="Normal"/>
    <w:link w:val="TextedebullesCar"/>
    <w:uiPriority w:val="99"/>
    <w:semiHidden/>
    <w:unhideWhenUsed/>
    <w:rsid w:val="00BE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028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B2AB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A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21F"/>
  </w:style>
  <w:style w:type="paragraph" w:styleId="Pieddepage">
    <w:name w:val="footer"/>
    <w:basedOn w:val="Normal"/>
    <w:link w:val="PieddepageCar"/>
    <w:uiPriority w:val="99"/>
    <w:unhideWhenUsed/>
    <w:rsid w:val="008A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21F"/>
  </w:style>
  <w:style w:type="character" w:styleId="Lienhypertexte">
    <w:name w:val="Hyperlink"/>
    <w:basedOn w:val="Policepardfaut"/>
    <w:uiPriority w:val="99"/>
    <w:unhideWhenUsed/>
    <w:rsid w:val="004C5C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5C1A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4A1B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.cacciaguerra@urhaj-id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C611AB-2959-4EAE-B73E-35B943AD6B69}">
  <we:reference id="wa104381727" version="1.0.0.9" store="en-001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Habitat Jeunes Ile de France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 Cacciaguerra</dc:creator>
  <cp:keywords/>
  <dc:description/>
  <cp:lastModifiedBy>elevy</cp:lastModifiedBy>
  <cp:revision>7</cp:revision>
  <cp:lastPrinted>2022-09-14T16:57:00Z</cp:lastPrinted>
  <dcterms:created xsi:type="dcterms:W3CDTF">2022-09-14T16:59:00Z</dcterms:created>
  <dcterms:modified xsi:type="dcterms:W3CDTF">2022-09-15T10:07:00Z</dcterms:modified>
</cp:coreProperties>
</file>